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caps/>
          <w:sz w:val="28"/>
        </w:rPr>
      </w:pPr>
      <w:r>
        <w:rPr>
          <w:caps/>
          <w:sz w:val="28"/>
        </w:rPr>
      </w:r>
    </w:p>
    <w:p>
      <w:pPr>
        <w:pStyle w:val="Normal"/>
        <w:jc w:val="center"/>
        <w:rPr>
          <w:caps/>
          <w:sz w:val="28"/>
        </w:rPr>
      </w:pPr>
      <w:r>
        <w:rPr/>
        <w:drawing>
          <wp:inline distT="0" distB="0" distL="0" distR="0">
            <wp:extent cx="692150" cy="7239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caps/>
          <w:sz w:val="28"/>
        </w:rPr>
      </w:pPr>
      <w:r>
        <w:rPr>
          <w:caps/>
          <w:sz w:val="28"/>
        </w:rPr>
      </w:r>
    </w:p>
    <w:p>
      <w:pPr>
        <w:pStyle w:val="Normal"/>
        <w:jc w:val="center"/>
        <w:rPr>
          <w:b/>
          <w:b/>
          <w:caps/>
          <w:sz w:val="28"/>
        </w:rPr>
      </w:pPr>
      <w:r>
        <w:rPr>
          <w:b/>
          <w:caps/>
          <w:sz w:val="28"/>
        </w:rPr>
        <w:t>Совет Александровского сельского поселения</w:t>
      </w:r>
    </w:p>
    <w:p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>
      <w:pPr>
        <w:pStyle w:val="Normal"/>
        <w:rPr/>
      </w:pPr>
      <w:r>
        <w:rPr>
          <w:rFonts w:ascii="PT Astra Serif" w:hAnsi="PT Astra Serif"/>
          <w:sz w:val="24"/>
          <w:szCs w:val="24"/>
        </w:rPr>
        <w:t>17</w:t>
      </w:r>
      <w:r>
        <w:rPr>
          <w:rFonts w:ascii="PT Astra Serif" w:hAnsi="PT Astra Serif"/>
          <w:sz w:val="24"/>
          <w:szCs w:val="24"/>
        </w:rPr>
        <w:t>.10.2023</w:t>
        <w:tab/>
        <w:tab/>
        <w:tab/>
        <w:tab/>
        <w:tab/>
        <w:tab/>
        <w:tab/>
        <w:tab/>
        <w:tab/>
        <w:t xml:space="preserve">           № </w:t>
      </w:r>
      <w:r>
        <w:rPr>
          <w:rFonts w:ascii="PT Astra Serif" w:hAnsi="PT Astra Serif"/>
          <w:sz w:val="24"/>
          <w:szCs w:val="24"/>
        </w:rPr>
        <w:t>54-23-12п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с. Александровское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О внесении изменений в решение Совета Александровского сельского поселения 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от 30 января 2013 года № 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2023 год»</w:t>
      </w:r>
    </w:p>
    <w:p>
      <w:pPr>
        <w:pStyle w:val="Normal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Spacing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Руководствуясь пунктом 6 части 1 статьи 17 Федерального закона от 06 октября  2003 года №131-ФЗ «Об общих принципах организации местного самоуправления в Российской Федерации», ст.179 Бюджетного кодекса, Уставом муниципального образования «Александровское сельское поселение», решением Совета поселения от 22 августа 2023 года № 50-23-11п «О внесении изменений в бюджет муниципального образования «Александровское сельское поселение» на 2023 год плановый период 2024 и 2025 годов», в целях приведения объемов средств областного,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2013-2015 годы и на перспективу по 2023 года» в соответствие с выделенными ассигнованиями на реализацию программных мероприятий из областного, районного и местного бюджетов 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Совет Александровского сельского поселения РЕШИЛ: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0" w:firstLine="426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Внести в решение Совета Александровского сельского поселения от 30 января 2013 года № 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по 2023 год», изменения изложив приложение к решению в редакции согласно, приложению к настоящему решению.</w:t>
      </w:r>
    </w:p>
    <w:p>
      <w:pPr>
        <w:pStyle w:val="Normal"/>
        <w:ind w:firstLine="36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 Опубликовать настоящее решение в газете «Северянка», а также на официальном сайте Администрации Александровского сельского поселения в информационно-телекоммуникационной сети «Интернет» (</w:t>
      </w:r>
      <w:r>
        <w:rPr>
          <w:rFonts w:ascii="PT Astra Serif" w:hAnsi="PT Astra Serif"/>
          <w:sz w:val="24"/>
          <w:szCs w:val="24"/>
          <w:lang w:val="en-US"/>
        </w:rPr>
        <w:t>http</w:t>
      </w:r>
      <w:r>
        <w:rPr>
          <w:rFonts w:ascii="PT Astra Serif" w:hAnsi="PT Astra Serif"/>
          <w:sz w:val="24"/>
          <w:szCs w:val="24"/>
        </w:rPr>
        <w:t>://</w:t>
      </w:r>
      <w:r>
        <w:rPr>
          <w:rFonts w:ascii="PT Astra Serif" w:hAnsi="PT Astra Serif"/>
          <w:sz w:val="24"/>
          <w:szCs w:val="24"/>
          <w:lang w:val="en-US"/>
        </w:rPr>
        <w:t>alsadmsp</w:t>
      </w:r>
      <w:r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  <w:lang w:val="en-US"/>
        </w:rPr>
        <w:t>ru</w:t>
      </w:r>
      <w:r>
        <w:rPr>
          <w:rFonts w:ascii="PT Astra Serif" w:hAnsi="PT Astra Serif"/>
          <w:sz w:val="24"/>
          <w:szCs w:val="24"/>
        </w:rPr>
        <w:t>/).</w:t>
      </w:r>
    </w:p>
    <w:p>
      <w:pPr>
        <w:pStyle w:val="NoSpacing"/>
        <w:ind w:firstLine="360"/>
        <w:jc w:val="both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>3.</w:t>
        <w:tab/>
        <w:t>Настоящее решение вступает в силу на следующий день после его официального опубликования (обнародования).</w:t>
      </w:r>
    </w:p>
    <w:p>
      <w:pPr>
        <w:pStyle w:val="NoSpacing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NoSpacing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NoSpacing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Глава Александровского сельского поселения,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исполняющий полномочия председателя Совета</w:t>
      </w:r>
    </w:p>
    <w:p>
      <w:pPr>
        <w:pStyle w:val="NoSpacing"/>
        <w:jc w:val="both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>Александровского сельского поселения</w:t>
        <w:tab/>
        <w:tab/>
      </w:r>
      <w:r>
        <w:rPr>
          <w:rFonts w:ascii="PT Astra Serif" w:hAnsi="PT Astra Serif"/>
          <w:sz w:val="24"/>
          <w:szCs w:val="24"/>
        </w:rPr>
        <w:t xml:space="preserve">   </w:t>
      </w:r>
      <w:r>
        <w:rPr>
          <w:rFonts w:cs="Times New Roman" w:ascii="PT Astra Serif" w:hAnsi="PT Astra Serif"/>
          <w:sz w:val="24"/>
          <w:szCs w:val="24"/>
        </w:rPr>
        <w:t>__________________      Д.В. Пьянков</w:t>
      </w:r>
    </w:p>
    <w:p>
      <w:pPr>
        <w:pStyle w:val="NoSpacing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NoSpacing"/>
        <w:tabs>
          <w:tab w:val="clear" w:pos="709"/>
          <w:tab w:val="left" w:pos="4820" w:leader="none"/>
        </w:tabs>
        <w:ind w:left="2832" w:firstLine="708"/>
        <w:jc w:val="center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                                       </w:t>
      </w:r>
      <w:r>
        <w:rPr>
          <w:rFonts w:cs="Times New Roman" w:ascii="PT Astra Serif" w:hAnsi="PT Astra Serif"/>
          <w:sz w:val="24"/>
          <w:szCs w:val="24"/>
        </w:rPr>
        <w:t>Приложение к решению</w:t>
        <w:tab/>
        <w:tab/>
        <w:tab/>
        <w:tab/>
        <w:t xml:space="preserve">    Совета Александровского</w:t>
      </w:r>
    </w:p>
    <w:p>
      <w:pPr>
        <w:pStyle w:val="NoSpacing"/>
        <w:ind w:firstLine="360"/>
        <w:jc w:val="center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                                                                                    </w:t>
      </w:r>
      <w:r>
        <w:rPr>
          <w:rFonts w:cs="Times New Roman" w:ascii="PT Astra Serif" w:hAnsi="PT Astra Serif"/>
          <w:sz w:val="24"/>
          <w:szCs w:val="24"/>
        </w:rPr>
        <w:t>сельского поселения</w:t>
      </w:r>
    </w:p>
    <w:p>
      <w:pPr>
        <w:pStyle w:val="NoSpacing"/>
        <w:ind w:left="5664" w:hanging="0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         </w:t>
      </w:r>
      <w:r>
        <w:rPr>
          <w:rFonts w:cs="Times New Roman" w:ascii="PT Astra Serif" w:hAnsi="PT Astra Serif"/>
          <w:sz w:val="24"/>
          <w:szCs w:val="24"/>
        </w:rPr>
        <w:t xml:space="preserve">от </w:t>
      </w:r>
      <w:r>
        <w:rPr>
          <w:rFonts w:cs="Times New Roman" w:ascii="PT Astra Serif" w:hAnsi="PT Astra Serif"/>
          <w:sz w:val="24"/>
          <w:szCs w:val="24"/>
        </w:rPr>
        <w:t>17.10</w:t>
      </w:r>
      <w:r>
        <w:rPr>
          <w:rFonts w:cs="Times New Roman" w:ascii="PT Astra Serif" w:hAnsi="PT Astra Serif"/>
          <w:sz w:val="24"/>
          <w:szCs w:val="24"/>
        </w:rPr>
        <w:t xml:space="preserve">.2023 № </w:t>
      </w:r>
      <w:r>
        <w:rPr>
          <w:rFonts w:eastAsia="PT Astra Serif" w:cs="Times New Roman" w:ascii="PT Astra Serif" w:hAnsi="PT Astra Serif"/>
          <w:sz w:val="24"/>
          <w:szCs w:val="24"/>
        </w:rPr>
        <w:t>54-23-12п</w:t>
      </w:r>
    </w:p>
    <w:p>
      <w:pPr>
        <w:pStyle w:val="NoSpacing"/>
        <w:ind w:left="5664" w:hanging="0"/>
        <w:rPr>
          <w:rFonts w:ascii="PT Astra Serif" w:hAnsi="PT Astra Serif"/>
          <w:sz w:val="24"/>
          <w:szCs w:val="24"/>
        </w:rPr>
      </w:pPr>
      <w:r>
        <w:rPr/>
      </w:r>
    </w:p>
    <w:p>
      <w:pPr>
        <w:pStyle w:val="NoSpacing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b/>
          <w:sz w:val="24"/>
          <w:szCs w:val="24"/>
        </w:rPr>
        <w:t xml:space="preserve">1) Раздел «Объем финансирования муниципальной программы» </w:t>
      </w:r>
      <w:r>
        <w:rPr>
          <w:rFonts w:cs="Times New Roman" w:ascii="PT Astra Serif" w:hAnsi="PT Astra Serif"/>
          <w:sz w:val="24"/>
          <w:szCs w:val="24"/>
        </w:rPr>
        <w:t>паспорта Программы изложить в актуальной редакции:</w:t>
      </w:r>
    </w:p>
    <w:tbl>
      <w:tblPr>
        <w:tblW w:w="9072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firstRow="0" w:lastRow="0" w:firstColumn="0" w:lastColumn="0"/>
      </w:tblPr>
      <w:tblGrid>
        <w:gridCol w:w="2228"/>
        <w:gridCol w:w="6843"/>
      </w:tblGrid>
      <w:tr>
        <w:trPr>
          <w:trHeight w:val="3210" w:hRule="atLeast"/>
        </w:trPr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</w:rPr>
              <w:t>«Объем финансирования муниципальной Программы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 xml:space="preserve">Объем финансирования Программы составляет </w:t>
            </w:r>
            <w:r>
              <w:rPr>
                <w:rFonts w:ascii="PT Astra Serif" w:hAnsi="PT Astra Serif"/>
                <w:b/>
                <w:spacing w:val="3"/>
                <w:sz w:val="24"/>
                <w:szCs w:val="24"/>
                <w:lang w:eastAsia="ar-SA"/>
              </w:rPr>
              <w:t>232 813,355</w:t>
            </w: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тыс. руб., в том числе: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2013 г. –9 266,3тыс.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2014 г. –35 627,18тыс.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2015г. – 6 255,275.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2016 г. – 6 023,979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2017 г. – 9 633,22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2018г. – 15 205,272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2019 г. – 22 607,218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2020 г. – 76 622,818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2021 г. – 26</w:t>
            </w:r>
            <w:r>
              <w:rPr>
                <w:rFonts w:ascii="PT Astra Serif" w:hAnsi="PT Astra Serif"/>
                <w:spacing w:val="3"/>
                <w:sz w:val="24"/>
                <w:szCs w:val="24"/>
                <w:lang w:val="en-US" w:eastAsia="ar-SA"/>
              </w:rPr>
              <w:t> </w:t>
            </w: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795.280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2022 г. – 4297,478 тыс. руб.</w:t>
            </w:r>
          </w:p>
          <w:p>
            <w:pPr>
              <w:pStyle w:val="Normal"/>
              <w:shd w:val="clear" w:color="auto" w:fill="FFFFFF"/>
              <w:snapToGrid w:val="false"/>
              <w:ind w:left="-159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2023 г. – 20 479,335 тыс. руб.</w:t>
            </w:r>
          </w:p>
        </w:tc>
      </w:tr>
    </w:tbl>
    <w:p>
      <w:pPr>
        <w:pStyle w:val="Normal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iCs/>
          <w:spacing w:val="-7"/>
          <w:sz w:val="24"/>
          <w:szCs w:val="24"/>
        </w:rPr>
        <w:t xml:space="preserve">1) В разделе 5.1. Водоснабжение, в таблицу № 16 </w:t>
      </w:r>
      <w:r>
        <w:rPr>
          <w:rFonts w:ascii="PT Astra Serif" w:hAnsi="PT Astra Serif"/>
          <w:iCs/>
          <w:spacing w:val="-7"/>
          <w:sz w:val="24"/>
          <w:szCs w:val="24"/>
        </w:rPr>
        <w:t>«</w:t>
      </w:r>
      <w:r>
        <w:rPr>
          <w:rFonts w:ascii="PT Astra Serif" w:hAnsi="PT Astra Serif"/>
          <w:sz w:val="24"/>
          <w:szCs w:val="24"/>
          <w:lang w:eastAsia="ar-SA"/>
        </w:rPr>
        <w:t>Перечень мероприятий по новому строительству, реконструкции (модернизации) системы водоснабжения</w:t>
      </w:r>
      <w:r>
        <w:rPr>
          <w:rFonts w:ascii="PT Astra Serif" w:hAnsi="PT Astra Serif"/>
          <w:sz w:val="24"/>
          <w:szCs w:val="24"/>
        </w:rPr>
        <w:t xml:space="preserve">» 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в </w:t>
      </w:r>
      <w:r>
        <w:rPr>
          <w:rFonts w:ascii="PT Astra Serif" w:hAnsi="PT Astra Serif"/>
          <w:b/>
          <w:iCs/>
          <w:spacing w:val="-7"/>
          <w:sz w:val="24"/>
          <w:szCs w:val="24"/>
        </w:rPr>
        <w:t>2023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году: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а) в строке 47.4 «</w:t>
      </w:r>
      <w:r>
        <w:rPr>
          <w:rFonts w:ascii="PT Astra Serif" w:hAnsi="PT Astra Serif"/>
          <w:sz w:val="24"/>
          <w:szCs w:val="24"/>
          <w:lang w:eastAsia="ar-SA"/>
        </w:rPr>
        <w:t>Обустройство микрорайона индивидуальной жилой застройки Южной части села, ограниченного р.Сайма (рыбзовод)-р.Анвар в с.Александровское Александровского района Томской области. Газоснабжение. Водоснабжение.</w:t>
      </w:r>
      <w:r>
        <w:rPr>
          <w:rFonts w:ascii="PT Astra Serif" w:hAnsi="PT Astra Serif"/>
          <w:sz w:val="24"/>
          <w:szCs w:val="24"/>
        </w:rPr>
        <w:t>»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«1300,600» заменить цифрами «1745,10» из средств бюджета района, добавить финансирование из средств бюджета поселения в сумме «444,500».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б) в строке 47.5 «</w:t>
      </w:r>
      <w:r>
        <w:rPr>
          <w:rFonts w:ascii="PT Astra Serif" w:hAnsi="PT Astra Serif"/>
          <w:sz w:val="24"/>
          <w:szCs w:val="24"/>
          <w:lang w:eastAsia="ar-SA"/>
        </w:rPr>
        <w:t>Оформление и согласование проекта зон санитарной охраны подземных источников водоснабжения для скважин</w:t>
      </w:r>
      <w:r>
        <w:rPr>
          <w:rFonts w:ascii="PT Astra Serif" w:hAnsi="PT Astra Serif"/>
          <w:sz w:val="24"/>
          <w:szCs w:val="24"/>
        </w:rPr>
        <w:t>»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«2,966» заменить цифрами «35,887»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в) добавить строку следующего содержания:</w:t>
      </w:r>
    </w:p>
    <w:tbl>
      <w:tblPr>
        <w:tblW w:w="891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 w:noVBand="0" w:noHBand="0" w:lastColumn="0" w:firstColumn="1" w:lastRow="0" w:firstRow="1"/>
      </w:tblPr>
      <w:tblGrid>
        <w:gridCol w:w="633"/>
        <w:gridCol w:w="5103"/>
        <w:gridCol w:w="1418"/>
        <w:gridCol w:w="1763"/>
      </w:tblGrid>
      <w:tr>
        <w:trPr/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eastAsia="ar-SA"/>
              </w:rPr>
              <w:t>47.7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ind w:right="-147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27,258 тыс.руб.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eastAsia="ar-SA"/>
              </w:rPr>
              <w:t>Средства Александровского района</w:t>
            </w:r>
          </w:p>
        </w:tc>
      </w:tr>
    </w:tbl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итого цифры «2026,021» заменить цифрами «2975,2»;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«ИТОГО за период 2013-2023гг» цифры «89 567,47» заменить цифрами «90 521,649»;</w:t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2023г. – цифры «2026,021» заменить цифрами «2975,2»;</w:t>
      </w:r>
    </w:p>
    <w:p>
      <w:pPr>
        <w:pStyle w:val="Normal"/>
        <w:suppressAutoHyphens w:val="true"/>
        <w:ind w:firstLine="567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  <w:lang w:eastAsia="ar-SA"/>
        </w:rPr>
        <w:t>Источники обеспечивающие финансирование программы</w:t>
      </w:r>
    </w:p>
    <w:p>
      <w:pPr>
        <w:pStyle w:val="Normal"/>
        <w:suppressAutoHyphens w:val="true"/>
        <w:ind w:firstLine="567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  <w:lang w:eastAsia="ar-SA"/>
        </w:rPr>
        <w:t xml:space="preserve">                                                                                             </w:t>
      </w:r>
      <w:r>
        <w:rPr>
          <w:rFonts w:ascii="PT Astra Serif" w:hAnsi="PT Astra Serif"/>
          <w:color w:val="000000"/>
          <w:sz w:val="24"/>
          <w:szCs w:val="24"/>
          <w:lang w:eastAsia="ar-SA"/>
        </w:rPr>
        <w:t>Таблица № 17</w:t>
      </w:r>
    </w:p>
    <w:tbl>
      <w:tblPr>
        <w:tblW w:w="9175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 w:noVBand="0" w:noHBand="0" w:lastColumn="0" w:firstColumn="1" w:lastRow="0" w:firstRow="1"/>
      </w:tblPr>
      <w:tblGrid>
        <w:gridCol w:w="2413"/>
        <w:gridCol w:w="1935"/>
        <w:gridCol w:w="1935"/>
        <w:gridCol w:w="1404"/>
        <w:gridCol w:w="1488"/>
      </w:tblGrid>
      <w:tr>
        <w:trPr>
          <w:trHeight w:val="300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Год реализации программы</w:t>
            </w:r>
          </w:p>
        </w:tc>
        <w:tc>
          <w:tcPr>
            <w:tcW w:w="19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Бюджет Александровского сельского поселения</w:t>
            </w:r>
          </w:p>
        </w:tc>
        <w:tc>
          <w:tcPr>
            <w:tcW w:w="19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Бюджет Александровского района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Федеральный бюджет</w:t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2013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551,0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2 321,2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2014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685,8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5853,61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18 362,7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697,5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2639,976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1088,495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1794,3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401,4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329,29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168,35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7472,905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7 039,566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34 369,244</w:t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985,46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2080,853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100,0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499,8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530,387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2 444,813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569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ИТОГО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5 637,682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25 107,457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25 402,266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34 369,244</w:t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Доля финансирования, %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6,23%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27,74%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28,06%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37,97%</w:t>
            </w:r>
          </w:p>
        </w:tc>
      </w:tr>
    </w:tbl>
    <w:p>
      <w:pPr>
        <w:pStyle w:val="Normal"/>
        <w:jc w:val="both"/>
        <w:rPr>
          <w:rFonts w:ascii="PT Astra Serif" w:hAnsi="PT Astra Serif"/>
          <w:b/>
          <w:b/>
          <w:iCs/>
          <w:spacing w:val="-7"/>
          <w:sz w:val="24"/>
          <w:szCs w:val="24"/>
        </w:rPr>
      </w:pPr>
      <w:r>
        <w:rPr>
          <w:rFonts w:ascii="PT Astra Serif" w:hAnsi="PT Astra Serif"/>
          <w:b/>
          <w:iCs/>
          <w:spacing w:val="-7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iCs/>
          <w:spacing w:val="-7"/>
          <w:sz w:val="24"/>
          <w:szCs w:val="24"/>
        </w:rPr>
        <w:t xml:space="preserve">3) В разделе 5.3. Теплоснабжение, в таблицу № 20 </w:t>
      </w:r>
      <w:r>
        <w:rPr>
          <w:rFonts w:ascii="PT Astra Serif" w:hAnsi="PT Astra Serif"/>
          <w:iCs/>
          <w:spacing w:val="-7"/>
          <w:sz w:val="24"/>
          <w:szCs w:val="24"/>
        </w:rPr>
        <w:t>«</w:t>
      </w:r>
      <w:r>
        <w:rPr>
          <w:rFonts w:ascii="PT Astra Serif" w:hAnsi="PT Astra Serif"/>
          <w:sz w:val="24"/>
          <w:szCs w:val="24"/>
        </w:rPr>
        <w:t xml:space="preserve">Перечень организационно технических мероприятий по совершенствованию работы котельных поселения (реконструкция, модернизация)» 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в </w:t>
      </w:r>
      <w:r>
        <w:rPr>
          <w:rFonts w:ascii="PT Astra Serif" w:hAnsi="PT Astra Serif"/>
          <w:b/>
          <w:iCs/>
          <w:spacing w:val="-7"/>
          <w:sz w:val="24"/>
          <w:szCs w:val="24"/>
        </w:rPr>
        <w:t>2023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году: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а) в строке 64.2 «</w:t>
      </w:r>
      <w:r>
        <w:rPr>
          <w:rFonts w:ascii="PT Astra Serif" w:hAnsi="PT Astra Serif"/>
          <w:sz w:val="24"/>
          <w:szCs w:val="24"/>
        </w:rPr>
        <w:t>Оказание услуг проведения достоверности определения сметной стоимости объектов»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«47,034» заменить цифрами «47,029»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б) в строке 64.4 «</w:t>
      </w:r>
      <w:r>
        <w:rPr>
          <w:rFonts w:ascii="PT Astra Serif" w:hAnsi="PT Astra Serif"/>
          <w:sz w:val="24"/>
          <w:szCs w:val="24"/>
        </w:rPr>
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цифры «0,00» заменить цифрами «1279,605» из средств бюджета района, добавить финансирование из средств областного бюджета в сумме «2183,356» 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в) в строке 64.5 «</w:t>
      </w:r>
      <w:r>
        <w:rPr>
          <w:rFonts w:ascii="PT Astra Serif" w:hAnsi="PT Astra Serif"/>
          <w:sz w:val="24"/>
          <w:szCs w:val="24"/>
        </w:rPr>
        <w:t>Актуализация схем теплоснабжения»,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«220,00» заменить цифрами «125,5»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г) в строке 64.6 «</w:t>
      </w:r>
      <w:r>
        <w:rPr>
          <w:rFonts w:ascii="PT Astra Serif" w:hAnsi="PT Astra Serif"/>
          <w:sz w:val="24"/>
          <w:szCs w:val="24"/>
        </w:rPr>
        <w:t>Проверка и ремонт теплосчётчиков на котельных»,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«600,00» заменить цифрами «0,00»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е) в строке 64.7 «</w:t>
      </w:r>
      <w:r>
        <w:rPr>
          <w:rFonts w:ascii="PT Astra Serif" w:hAnsi="PT Astra Serif"/>
          <w:sz w:val="24"/>
          <w:szCs w:val="24"/>
        </w:rPr>
        <w:t>Режимная наладка котлов»,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«600,00» заменить цифрами «0,00»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д) в строке 64.8 «</w:t>
      </w:r>
      <w:r>
        <w:rPr>
          <w:rFonts w:ascii="PT Astra Serif" w:hAnsi="PT Astra Serif"/>
          <w:sz w:val="24"/>
          <w:szCs w:val="24"/>
          <w:lang w:eastAsia="ar-SA"/>
        </w:rPr>
        <w:t>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отопительного сезона</w:t>
      </w:r>
      <w:r>
        <w:rPr>
          <w:rFonts w:ascii="PT Astra Serif" w:hAnsi="PT Astra Serif"/>
          <w:sz w:val="24"/>
          <w:szCs w:val="24"/>
        </w:rPr>
        <w:t>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«878,300» заменить цифрами «13868,650» из средств бюджета района.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итого цифры «2345,334» заменить цифрами «17 504,14».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«ИТОГО за период 2013-2023гг» цифры «113 335,201» заменить цифрами «128 494,007»;</w:t>
      </w:r>
    </w:p>
    <w:p>
      <w:pPr>
        <w:pStyle w:val="Normal"/>
        <w:tabs>
          <w:tab w:val="clear" w:pos="709"/>
          <w:tab w:val="left" w:pos="1418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iCs/>
          <w:spacing w:val="-7"/>
          <w:sz w:val="24"/>
          <w:szCs w:val="24"/>
        </w:rPr>
        <w:t xml:space="preserve">4) В разделе 5.3. Теплоснабжение, в таблицу № 21 </w:t>
      </w:r>
      <w:r>
        <w:rPr>
          <w:rFonts w:ascii="PT Astra Serif" w:hAnsi="PT Astra Serif"/>
          <w:iCs/>
          <w:spacing w:val="-7"/>
          <w:sz w:val="24"/>
          <w:szCs w:val="24"/>
        </w:rPr>
        <w:t>«</w:t>
      </w:r>
      <w:r>
        <w:rPr>
          <w:rFonts w:ascii="PT Astra Serif" w:hAnsi="PT Astra Serif"/>
          <w:sz w:val="24"/>
          <w:szCs w:val="24"/>
          <w:lang w:eastAsia="ar-SA"/>
        </w:rPr>
        <w:t>Перечень мероприятий по реконструкции (модернизации) сетей теплоснабжения и приобретение спец. Техники</w:t>
      </w:r>
      <w:r>
        <w:rPr>
          <w:rFonts w:ascii="PT Astra Serif" w:hAnsi="PT Astra Serif"/>
          <w:sz w:val="24"/>
          <w:szCs w:val="24"/>
        </w:rPr>
        <w:t xml:space="preserve">» 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в </w:t>
      </w:r>
      <w:r>
        <w:rPr>
          <w:rFonts w:ascii="PT Astra Serif" w:hAnsi="PT Astra Serif"/>
          <w:b/>
          <w:iCs/>
          <w:spacing w:val="-7"/>
          <w:sz w:val="24"/>
          <w:szCs w:val="24"/>
        </w:rPr>
        <w:t>2023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году: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а) в строке 16 «</w:t>
      </w:r>
      <w:r>
        <w:rPr>
          <w:rFonts w:ascii="PT Astra Serif" w:hAnsi="PT Astra Serif"/>
          <w:sz w:val="24"/>
          <w:szCs w:val="24"/>
          <w:lang w:eastAsia="ar-SA"/>
        </w:rPr>
        <w:t>Приобретение и формирование резерва материально технических средств.</w:t>
      </w:r>
      <w:r>
        <w:rPr>
          <w:rFonts w:ascii="PT Astra Serif" w:hAnsi="PT Astra Serif"/>
          <w:sz w:val="24"/>
          <w:szCs w:val="24"/>
        </w:rPr>
        <w:t>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«350,00» заменить цифрами «0,00» из средств бюджета поселения</w:t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итого цифры «13 694,359» заменить цифрами «13 344,359».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«ИТОГО за период 2013-2023гг» цифры «127 029,56» заменить цифрами «141 838,366»;</w:t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2023г. – цифры «2345,334» заменить цифрами «17504,14».</w:t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-таблицу №22 «Источники обеспечивающие финансирование программы, тыс. руб.» изложить в актуальной редакции: </w:t>
      </w:r>
    </w:p>
    <w:p>
      <w:pPr>
        <w:pStyle w:val="Normal"/>
        <w:ind w:firstLine="567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PT Astra Serif" w:hAnsi="PT Astra Serif"/>
          <w:sz w:val="24"/>
          <w:szCs w:val="24"/>
        </w:rPr>
        <w:t>Таблица № 22</w:t>
      </w:r>
    </w:p>
    <w:tbl>
      <w:tblPr>
        <w:tblW w:w="7577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 w:noVBand="0" w:noHBand="0" w:lastColumn="0" w:firstColumn="1" w:lastRow="0" w:firstRow="1"/>
      </w:tblPr>
      <w:tblGrid>
        <w:gridCol w:w="2436"/>
        <w:gridCol w:w="1954"/>
        <w:gridCol w:w="1952"/>
        <w:gridCol w:w="1234"/>
      </w:tblGrid>
      <w:tr>
        <w:trPr>
          <w:trHeight w:val="300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Год реализации программы</w:t>
            </w:r>
          </w:p>
        </w:tc>
        <w:tc>
          <w:tcPr>
            <w:tcW w:w="19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Александровского сельского поселения</w:t>
            </w:r>
          </w:p>
        </w:tc>
        <w:tc>
          <w:tcPr>
            <w:tcW w:w="19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2013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1786,2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4280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</w:tr>
      <w:tr>
        <w:trPr>
          <w:trHeight w:val="196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2014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2794,62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7800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2015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2917,799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2016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1936,685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1204,5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</w:tr>
      <w:tr>
        <w:trPr>
          <w:trHeight w:val="28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2017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754,417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1216,643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2018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790,022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2019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1 351,008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7 174,313</w:t>
            </w:r>
          </w:p>
        </w:tc>
      </w:tr>
      <w:tr>
        <w:trPr>
          <w:trHeight w:val="238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2020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801,781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16 859,126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2021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1710,41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10 574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2022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1405,796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1864,18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427,703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172,529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15 148,255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2183,356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ИТОГО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16 421,267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86 981,958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38 435,141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Доля финансирования, %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11,58%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61,33%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27,09%</w:t>
            </w:r>
          </w:p>
        </w:tc>
      </w:tr>
    </w:tbl>
    <w:p>
      <w:pPr>
        <w:pStyle w:val="Normal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sectPr>
          <w:headerReference w:type="default" r:id="rId3"/>
          <w:type w:val="nextPage"/>
          <w:pgSz w:w="11906" w:h="16838"/>
          <w:pgMar w:left="1701" w:right="1134" w:header="709" w:top="1134" w:footer="0" w:bottom="1134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ПОЯСНИТЕЛЬНАЯ ЗАПИСКА К ПРОЕКТУ РЕШЕНИЯ от  августа 2023г</w:t>
      </w:r>
    </w:p>
    <w:p>
      <w:pPr>
        <w:pStyle w:val="Normal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</w:t>
      </w:r>
      <w:r>
        <w:rPr>
          <w:rFonts w:ascii="PT Astra Serif" w:hAnsi="PT Astra Serif"/>
          <w:sz w:val="24"/>
          <w:szCs w:val="24"/>
        </w:rPr>
        <w:t xml:space="preserve">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2013-2015 годы и на перспективу по 2023 года», утвержденную решением Совета Александровского сельского поселения от 30.01.2013 № 31-13-6п, возникла в связи с  изменениями  финансирования и внесением новых мероприятий в бюджете Александровского сельского поселения в 2023 - 2025 годах.                                                                                                     </w:t>
      </w:r>
    </w:p>
    <w:p>
      <w:pPr>
        <w:pStyle w:val="NoSpacing"/>
        <w:numPr>
          <w:ilvl w:val="0"/>
          <w:numId w:val="2"/>
        </w:numPr>
        <w:jc w:val="both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b/>
          <w:sz w:val="24"/>
          <w:szCs w:val="24"/>
        </w:rPr>
        <w:t xml:space="preserve">Раздел «Объем финансирования муниципальной программы» </w:t>
      </w:r>
      <w:r>
        <w:rPr>
          <w:rFonts w:cs="Times New Roman" w:ascii="PT Astra Serif" w:hAnsi="PT Astra Serif"/>
          <w:sz w:val="24"/>
          <w:szCs w:val="24"/>
        </w:rPr>
        <w:t xml:space="preserve">паспорта Программы изложить в актуальной редакции: </w:t>
      </w:r>
    </w:p>
    <w:tbl>
      <w:tblPr>
        <w:tblW w:w="9072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2228"/>
        <w:gridCol w:w="6843"/>
      </w:tblGrid>
      <w:tr>
        <w:trPr>
          <w:trHeight w:val="3210" w:hRule="atLeast"/>
        </w:trPr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</w:rPr>
              <w:t>«Объем финансирования муниципальной Программы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 xml:space="preserve">Объем финансирования Программы составляет </w:t>
            </w:r>
            <w:r>
              <w:rPr>
                <w:rFonts w:ascii="PT Astra Serif" w:hAnsi="PT Astra Serif"/>
                <w:b/>
                <w:spacing w:val="3"/>
                <w:sz w:val="24"/>
                <w:szCs w:val="24"/>
                <w:lang w:eastAsia="ar-SA"/>
              </w:rPr>
              <w:t>232 813,355</w:t>
            </w: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тыс. руб., в том числе: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2013 г. –9 266,3тыс.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2014 г. –35 627,18тыс.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2015г. – 6 255,275.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2016 г. – 6 023,979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2017 г. – 9 633,22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2018г. – 15 205,272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2019 г. – 22 607,218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2020 г. – 76 622,818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2021 г. – 26</w:t>
            </w:r>
            <w:r>
              <w:rPr>
                <w:rFonts w:ascii="PT Astra Serif" w:hAnsi="PT Astra Serif"/>
                <w:spacing w:val="3"/>
                <w:sz w:val="24"/>
                <w:szCs w:val="24"/>
                <w:lang w:val="en-US" w:eastAsia="ar-SA"/>
              </w:rPr>
              <w:t> </w:t>
            </w: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795.280 тыс. руб.</w:t>
            </w:r>
          </w:p>
          <w:p>
            <w:pPr>
              <w:pStyle w:val="Normal"/>
              <w:shd w:val="clear" w:color="auto" w:fill="FFFFFF"/>
              <w:tabs>
                <w:tab w:val="clear" w:pos="709"/>
                <w:tab w:val="left" w:pos="514" w:leader="none"/>
              </w:tabs>
              <w:suppressAutoHyphens w:val="true"/>
              <w:snapToGrid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2022 г. – 4297,478 тыс. руб.</w:t>
            </w:r>
          </w:p>
          <w:p>
            <w:pPr>
              <w:pStyle w:val="Normal"/>
              <w:shd w:val="clear" w:color="auto" w:fill="FFFFFF"/>
              <w:snapToGrid w:val="false"/>
              <w:ind w:left="-159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pacing w:val="3"/>
                <w:sz w:val="24"/>
                <w:szCs w:val="24"/>
                <w:lang w:eastAsia="ar-SA"/>
              </w:rPr>
              <w:t>2023 г. – 20 479,335 тыс. руб.</w:t>
            </w:r>
          </w:p>
        </w:tc>
      </w:tr>
    </w:tbl>
    <w:p>
      <w:pPr>
        <w:pStyle w:val="Normal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iCs/>
          <w:spacing w:val="-7"/>
          <w:sz w:val="24"/>
          <w:szCs w:val="24"/>
        </w:rPr>
        <w:t xml:space="preserve">1) В разделе 5.1. Водоснабжение, в таблицу № 16 </w:t>
      </w:r>
      <w:r>
        <w:rPr>
          <w:rFonts w:ascii="PT Astra Serif" w:hAnsi="PT Astra Serif"/>
          <w:iCs/>
          <w:spacing w:val="-7"/>
          <w:sz w:val="24"/>
          <w:szCs w:val="24"/>
        </w:rPr>
        <w:t>«</w:t>
      </w:r>
      <w:r>
        <w:rPr>
          <w:rFonts w:ascii="PT Astra Serif" w:hAnsi="PT Astra Serif"/>
          <w:sz w:val="24"/>
          <w:szCs w:val="24"/>
          <w:lang w:eastAsia="ar-SA"/>
        </w:rPr>
        <w:t>Перечень мероприятий по новому строительству, реконструкции (модернизации) системы водоснабжения</w:t>
      </w:r>
      <w:r>
        <w:rPr>
          <w:rFonts w:ascii="PT Astra Serif" w:hAnsi="PT Astra Serif"/>
          <w:sz w:val="24"/>
          <w:szCs w:val="24"/>
        </w:rPr>
        <w:t xml:space="preserve">» 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в </w:t>
      </w:r>
      <w:r>
        <w:rPr>
          <w:rFonts w:ascii="PT Astra Serif" w:hAnsi="PT Astra Serif"/>
          <w:b/>
          <w:iCs/>
          <w:spacing w:val="-7"/>
          <w:sz w:val="24"/>
          <w:szCs w:val="24"/>
        </w:rPr>
        <w:t>2023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году: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а) в строке 47.4 «</w:t>
      </w:r>
      <w:r>
        <w:rPr>
          <w:rFonts w:ascii="PT Astra Serif" w:hAnsi="PT Astra Serif"/>
          <w:sz w:val="24"/>
          <w:szCs w:val="24"/>
          <w:lang w:eastAsia="ar-SA"/>
        </w:rPr>
        <w:t>Обустройство микрорайона индивидуальной жилой застройки Южной части села, ограниченного р.Сайма (рыбзовод)-р.Анвар в с.Александровское Александровского района Томской области. Газоснабжение. Водоснабжение.</w:t>
      </w:r>
      <w:r>
        <w:rPr>
          <w:rFonts w:ascii="PT Astra Serif" w:hAnsi="PT Astra Serif"/>
          <w:sz w:val="24"/>
          <w:szCs w:val="24"/>
        </w:rPr>
        <w:t>»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«1300,600» заменить цифрами «1745,10» из средств бюджета района, добавить финансирование из средств бюджета поселения в сумме «444,500».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б) в строке 47.5 «</w:t>
      </w:r>
      <w:r>
        <w:rPr>
          <w:rFonts w:ascii="PT Astra Serif" w:hAnsi="PT Astra Serif"/>
          <w:sz w:val="24"/>
          <w:szCs w:val="24"/>
          <w:lang w:eastAsia="ar-SA"/>
        </w:rPr>
        <w:t>Оформление и согласование проекта зон санитарной охраны подземных источников водоснабжения для скважин</w:t>
      </w:r>
      <w:r>
        <w:rPr>
          <w:rFonts w:ascii="PT Astra Serif" w:hAnsi="PT Astra Serif"/>
          <w:sz w:val="24"/>
          <w:szCs w:val="24"/>
        </w:rPr>
        <w:t>»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«2,966» заменить цифрами «35,887»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в) добавить строку следующего содержания:</w:t>
      </w:r>
    </w:p>
    <w:tbl>
      <w:tblPr>
        <w:tblW w:w="891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 w:noVBand="0" w:noHBand="0" w:lastColumn="0" w:firstColumn="1" w:lastRow="0" w:firstRow="1"/>
      </w:tblPr>
      <w:tblGrid>
        <w:gridCol w:w="633"/>
        <w:gridCol w:w="5103"/>
        <w:gridCol w:w="1418"/>
        <w:gridCol w:w="1763"/>
      </w:tblGrid>
      <w:tr>
        <w:trPr/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eastAsia="ar-SA"/>
              </w:rPr>
              <w:t>47.7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ind w:right="-147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27,258 тыс.руб.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eastAsia="ar-SA"/>
              </w:rPr>
              <w:t>Средства Александровского района</w:t>
            </w:r>
          </w:p>
        </w:tc>
      </w:tr>
    </w:tbl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итого цифры «2026,021» заменить цифрами «2975,2»;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«ИТОГО за период 2013-2023гг» цифры «89 567,47» заменить цифрами «90 521,649»;</w:t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2023г. – цифры «2026,021» заменить цифрами «2975,2»;</w:t>
      </w:r>
    </w:p>
    <w:p>
      <w:pPr>
        <w:pStyle w:val="Normal"/>
        <w:suppressAutoHyphens w:val="true"/>
        <w:ind w:firstLine="567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  <w:lang w:eastAsia="ar-SA"/>
        </w:rPr>
        <w:t>Источники обеспечивающие финансирование программы</w:t>
      </w:r>
    </w:p>
    <w:p>
      <w:pPr>
        <w:pStyle w:val="Normal"/>
        <w:suppressAutoHyphens w:val="true"/>
        <w:ind w:firstLine="567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  <w:lang w:eastAsia="ar-SA"/>
        </w:rPr>
        <w:t xml:space="preserve">                                                                                             </w:t>
      </w:r>
      <w:r>
        <w:rPr>
          <w:rFonts w:ascii="PT Astra Serif" w:hAnsi="PT Astra Serif"/>
          <w:color w:val="000000"/>
          <w:sz w:val="24"/>
          <w:szCs w:val="24"/>
          <w:lang w:eastAsia="ar-SA"/>
        </w:rPr>
        <w:t>Таблица № 17</w:t>
      </w:r>
    </w:p>
    <w:tbl>
      <w:tblPr>
        <w:tblW w:w="9175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 w:noVBand="0" w:noHBand="0" w:lastColumn="0" w:firstColumn="1" w:lastRow="0" w:firstRow="1"/>
      </w:tblPr>
      <w:tblGrid>
        <w:gridCol w:w="2413"/>
        <w:gridCol w:w="1935"/>
        <w:gridCol w:w="1935"/>
        <w:gridCol w:w="1404"/>
        <w:gridCol w:w="1488"/>
      </w:tblGrid>
      <w:tr>
        <w:trPr>
          <w:trHeight w:val="300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Год реализации программы</w:t>
            </w:r>
          </w:p>
        </w:tc>
        <w:tc>
          <w:tcPr>
            <w:tcW w:w="19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Бюджет Александровского сельского поселения</w:t>
            </w:r>
          </w:p>
        </w:tc>
        <w:tc>
          <w:tcPr>
            <w:tcW w:w="19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Бюджет Александровского района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Федеральный бюджет</w:t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2013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551,0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2 321,2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2014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685,8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5853,61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18 362,7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697,5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2639,976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1088,495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1794,3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401,4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329,29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168,35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7472,905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7 039,566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34 369,244</w:t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985,46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2080,853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100,0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499,8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530,387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2 444,813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</w:r>
          </w:p>
        </w:tc>
      </w:tr>
      <w:tr>
        <w:trPr>
          <w:trHeight w:val="569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ИТОГО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5 637,682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25 107,457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25 402,266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34 369,244</w:t>
            </w:r>
          </w:p>
        </w:tc>
      </w:tr>
      <w:tr>
        <w:trPr>
          <w:trHeight w:val="255" w:hRule="atLeast"/>
        </w:trPr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Доля финансирования, %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6,23%</w:t>
            </w:r>
          </w:p>
        </w:tc>
        <w:tc>
          <w:tcPr>
            <w:tcW w:w="193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27,74%</w:t>
            </w:r>
          </w:p>
        </w:tc>
        <w:tc>
          <w:tcPr>
            <w:tcW w:w="14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28,06%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37,97%</w:t>
            </w:r>
          </w:p>
        </w:tc>
      </w:tr>
    </w:tbl>
    <w:p>
      <w:pPr>
        <w:pStyle w:val="Normal"/>
        <w:jc w:val="both"/>
        <w:rPr>
          <w:rFonts w:ascii="PT Astra Serif" w:hAnsi="PT Astra Serif"/>
          <w:b/>
          <w:b/>
          <w:iCs/>
          <w:spacing w:val="-7"/>
          <w:sz w:val="24"/>
          <w:szCs w:val="24"/>
        </w:rPr>
      </w:pPr>
      <w:r>
        <w:rPr>
          <w:rFonts w:ascii="PT Astra Serif" w:hAnsi="PT Astra Serif"/>
          <w:b/>
          <w:iCs/>
          <w:spacing w:val="-7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iCs/>
          <w:spacing w:val="-7"/>
          <w:sz w:val="24"/>
          <w:szCs w:val="24"/>
        </w:rPr>
        <w:t xml:space="preserve">3) В разделе 5.3. Теплоснабжение, в таблицу № 20 </w:t>
      </w:r>
      <w:r>
        <w:rPr>
          <w:rFonts w:ascii="PT Astra Serif" w:hAnsi="PT Astra Serif"/>
          <w:iCs/>
          <w:spacing w:val="-7"/>
          <w:sz w:val="24"/>
          <w:szCs w:val="24"/>
        </w:rPr>
        <w:t>«</w:t>
      </w:r>
      <w:r>
        <w:rPr>
          <w:rFonts w:ascii="PT Astra Serif" w:hAnsi="PT Astra Serif"/>
          <w:sz w:val="24"/>
          <w:szCs w:val="24"/>
        </w:rPr>
        <w:t xml:space="preserve">Перечень организационно технических мероприятий по совершенствованию работы котельных поселения (реконструкция, модернизация)» 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в </w:t>
      </w:r>
      <w:r>
        <w:rPr>
          <w:rFonts w:ascii="PT Astra Serif" w:hAnsi="PT Astra Serif"/>
          <w:b/>
          <w:iCs/>
          <w:spacing w:val="-7"/>
          <w:sz w:val="24"/>
          <w:szCs w:val="24"/>
        </w:rPr>
        <w:t>2023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году: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а) в строке 64.2 «</w:t>
      </w:r>
      <w:r>
        <w:rPr>
          <w:rFonts w:ascii="PT Astra Serif" w:hAnsi="PT Astra Serif"/>
          <w:sz w:val="24"/>
          <w:szCs w:val="24"/>
        </w:rPr>
        <w:t>Оказание услуг проведения достоверности определения сметной стоимости объектов»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«47,034» заменить цифрами «47,029»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б) в строке 64.4 «</w:t>
      </w:r>
      <w:r>
        <w:rPr>
          <w:rFonts w:ascii="PT Astra Serif" w:hAnsi="PT Astra Serif"/>
          <w:sz w:val="24"/>
          <w:szCs w:val="24"/>
        </w:rPr>
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цифры «0,00» заменить цифрами «1279,605» из средств бюджета района, добавить финансирование из средств областного бюджета в сумме «2183,356» 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в) в строке 64.5 «</w:t>
      </w:r>
      <w:r>
        <w:rPr>
          <w:rFonts w:ascii="PT Astra Serif" w:hAnsi="PT Astra Serif"/>
          <w:sz w:val="24"/>
          <w:szCs w:val="24"/>
        </w:rPr>
        <w:t>Актуализация схем теплоснабжения»,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«220,00» заменить цифрами «125,5»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г) в строке 64.6 «</w:t>
      </w:r>
      <w:r>
        <w:rPr>
          <w:rFonts w:ascii="PT Astra Serif" w:hAnsi="PT Astra Serif"/>
          <w:sz w:val="24"/>
          <w:szCs w:val="24"/>
        </w:rPr>
        <w:t>Проверка и ремонт теплосчётчиков на котельных»,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«600,00» заменить цифрами «0,00»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е) в строке 64.7 «</w:t>
      </w:r>
      <w:r>
        <w:rPr>
          <w:rFonts w:ascii="PT Astra Serif" w:hAnsi="PT Astra Serif"/>
          <w:sz w:val="24"/>
          <w:szCs w:val="24"/>
        </w:rPr>
        <w:t>Режимная наладка котлов»,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«600,00» заменить цифрами «0,00» из средств бюджета поселения.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д) в строке 64.8 «</w:t>
      </w:r>
      <w:r>
        <w:rPr>
          <w:rFonts w:ascii="PT Astra Serif" w:hAnsi="PT Astra Serif"/>
          <w:sz w:val="24"/>
          <w:szCs w:val="24"/>
          <w:lang w:eastAsia="ar-SA"/>
        </w:rPr>
        <w:t>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отопительного сезона</w:t>
      </w:r>
      <w:r>
        <w:rPr>
          <w:rFonts w:ascii="PT Astra Serif" w:hAnsi="PT Astra Serif"/>
          <w:sz w:val="24"/>
          <w:szCs w:val="24"/>
        </w:rPr>
        <w:t>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«878,300» заменить цифрами «13868,650» из средств бюджета района.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итого цифры «2345,334» заменить цифрами «17 504,14».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«ИТОГО за период 2013-2023гг» цифры «113 335,201» заменить цифрами «128 494,007»;</w:t>
      </w:r>
    </w:p>
    <w:p>
      <w:pPr>
        <w:pStyle w:val="Normal"/>
        <w:tabs>
          <w:tab w:val="clear" w:pos="709"/>
          <w:tab w:val="left" w:pos="1418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iCs/>
          <w:spacing w:val="-7"/>
          <w:sz w:val="24"/>
          <w:szCs w:val="24"/>
        </w:rPr>
        <w:t xml:space="preserve">4) В разделе 5.3. Теплоснабжение, в таблицу № 21 </w:t>
      </w:r>
      <w:r>
        <w:rPr>
          <w:rFonts w:ascii="PT Astra Serif" w:hAnsi="PT Astra Serif"/>
          <w:iCs/>
          <w:spacing w:val="-7"/>
          <w:sz w:val="24"/>
          <w:szCs w:val="24"/>
        </w:rPr>
        <w:t>«</w:t>
      </w:r>
      <w:r>
        <w:rPr>
          <w:rFonts w:ascii="PT Astra Serif" w:hAnsi="PT Astra Serif"/>
          <w:sz w:val="24"/>
          <w:szCs w:val="24"/>
          <w:lang w:eastAsia="ar-SA"/>
        </w:rPr>
        <w:t>Перечень мероприятий по реконструкции (модернизации) сетей теплоснабжения и приобретение спец. Техники</w:t>
      </w:r>
      <w:r>
        <w:rPr>
          <w:rFonts w:ascii="PT Astra Serif" w:hAnsi="PT Astra Serif"/>
          <w:sz w:val="24"/>
          <w:szCs w:val="24"/>
        </w:rPr>
        <w:t xml:space="preserve">» 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в </w:t>
      </w:r>
      <w:r>
        <w:rPr>
          <w:rFonts w:ascii="PT Astra Serif" w:hAnsi="PT Astra Serif"/>
          <w:b/>
          <w:iCs/>
          <w:spacing w:val="-7"/>
          <w:sz w:val="24"/>
          <w:szCs w:val="24"/>
        </w:rPr>
        <w:t>2023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году: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iCs/>
          <w:spacing w:val="-7"/>
          <w:sz w:val="24"/>
          <w:szCs w:val="24"/>
        </w:rPr>
        <w:t>а) в строке 16 «</w:t>
      </w:r>
      <w:r>
        <w:rPr>
          <w:rFonts w:ascii="PT Astra Serif" w:hAnsi="PT Astra Serif"/>
          <w:sz w:val="24"/>
          <w:szCs w:val="24"/>
          <w:lang w:eastAsia="ar-SA"/>
        </w:rPr>
        <w:t>Приобретение и формирование резерва материально технических средств.</w:t>
      </w:r>
      <w:r>
        <w:rPr>
          <w:rFonts w:ascii="PT Astra Serif" w:hAnsi="PT Astra Serif"/>
          <w:sz w:val="24"/>
          <w:szCs w:val="24"/>
        </w:rPr>
        <w:t>»,</w:t>
      </w:r>
      <w:r>
        <w:rPr>
          <w:rFonts w:ascii="PT Astra Serif" w:hAnsi="PT Astra Serif"/>
          <w:iCs/>
          <w:spacing w:val="-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цифры «350,00» заменить цифрами «0,00» из средств бюджета поселения</w:t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итого цифры «13 694,359» заменить цифрами «13 344,359».</w:t>
      </w:r>
    </w:p>
    <w:p>
      <w:pPr>
        <w:pStyle w:val="Normal"/>
        <w:shd w:val="clear" w:color="auto" w:fill="FFFFFF"/>
        <w:tabs>
          <w:tab w:val="clear" w:pos="709"/>
          <w:tab w:val="left" w:pos="6405" w:leader="none"/>
        </w:tabs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в строке «ИТОГО за период 2013-2023гг» цифры «127 029,56» заменить цифрами «141 838,366»;</w:t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2023г. – цифры «2345,334» заменить цифрами «17504,14».</w:t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-таблицу №22 «Источники обеспечивающие финансирование программы, тыс. руб.» изложить в актуальной редакции: </w:t>
      </w:r>
    </w:p>
    <w:p>
      <w:pPr>
        <w:pStyle w:val="Normal"/>
        <w:ind w:firstLine="567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PT Astra Serif" w:hAnsi="PT Astra Serif"/>
          <w:sz w:val="24"/>
          <w:szCs w:val="24"/>
        </w:rPr>
        <w:t>Таблица № 22</w:t>
      </w:r>
    </w:p>
    <w:tbl>
      <w:tblPr>
        <w:tblW w:w="7577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 w:noVBand="0" w:noHBand="0" w:lastColumn="0" w:firstColumn="1" w:lastRow="0" w:firstRow="1"/>
      </w:tblPr>
      <w:tblGrid>
        <w:gridCol w:w="2436"/>
        <w:gridCol w:w="1954"/>
        <w:gridCol w:w="1952"/>
        <w:gridCol w:w="1234"/>
      </w:tblGrid>
      <w:tr>
        <w:trPr>
          <w:trHeight w:val="300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Год реализации программы</w:t>
            </w:r>
          </w:p>
        </w:tc>
        <w:tc>
          <w:tcPr>
            <w:tcW w:w="19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Александровского сельского поселения</w:t>
            </w:r>
          </w:p>
        </w:tc>
        <w:tc>
          <w:tcPr>
            <w:tcW w:w="19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2013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1786,2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4280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</w:tr>
      <w:tr>
        <w:trPr>
          <w:trHeight w:val="196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2014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2794,62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7800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2015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2917,799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2016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1936,685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1204,5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0,00</w:t>
            </w:r>
          </w:p>
        </w:tc>
      </w:tr>
      <w:tr>
        <w:trPr>
          <w:trHeight w:val="28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2017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754,417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1216,643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2018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790,022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2019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1 351,008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7 174,313</w:t>
            </w:r>
          </w:p>
        </w:tc>
      </w:tr>
      <w:tr>
        <w:trPr>
          <w:trHeight w:val="238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2020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801,781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16 859,126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2021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1710,41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10 574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2022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1405,796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1864,18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eastAsia="ar-SA"/>
              </w:rPr>
              <w:t>427,703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 год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172,529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15 148,255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2183,356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ИТОГО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16 421,267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86 981,958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38 435,141</w:t>
            </w:r>
          </w:p>
        </w:tc>
      </w:tr>
      <w:tr>
        <w:trPr>
          <w:trHeight w:val="255" w:hRule="atLeast"/>
        </w:trPr>
        <w:tc>
          <w:tcPr>
            <w:tcW w:w="2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Доля финансирования, %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11,58%</w:t>
            </w:r>
          </w:p>
        </w:tc>
        <w:tc>
          <w:tcPr>
            <w:tcW w:w="19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61,33%</w:t>
            </w:r>
          </w:p>
        </w:tc>
        <w:tc>
          <w:tcPr>
            <w:tcW w:w="12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tru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  <w:lang w:eastAsia="ar-SA"/>
              </w:rPr>
              <w:t>27,09%</w:t>
            </w:r>
          </w:p>
        </w:tc>
      </w:tr>
    </w:tbl>
    <w:p>
      <w:pPr>
        <w:pStyle w:val="Normal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Spacing"/>
        <w:ind w:left="928" w:hanging="0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headerReference w:type="default" r:id="rId4"/>
      <w:type w:val="nextPage"/>
      <w:pgSz w:w="11906" w:h="16838"/>
      <w:pgMar w:left="1701" w:right="1134" w:header="709" w:top="766" w:footer="0" w:bottom="142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Tahoma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PT Astra Serif">
    <w:charset w:val="01"/>
    <w:family w:val="roman"/>
    <w:pitch w:val="default"/>
  </w:font>
  <w:font w:name="Arial CYR">
    <w:charset w:val="01"/>
    <w:family w:val="roman"/>
    <w:pitch w:val="default"/>
  </w:font>
  <w:font w:name="MS Sans Serif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Style24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Style24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65f7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9"/>
    <w:qFormat/>
    <w:rsid w:val="00465f79"/>
    <w:pPr>
      <w:keepNext w:val="true"/>
      <w:jc w:val="both"/>
      <w:outlineLvl w:val="0"/>
    </w:pPr>
    <w:rPr>
      <w:rFonts w:eastAsia="Calibri"/>
      <w:b/>
      <w:bCs/>
    </w:rPr>
  </w:style>
  <w:style w:type="paragraph" w:styleId="2">
    <w:name w:val="Heading 2"/>
    <w:basedOn w:val="Normal"/>
    <w:next w:val="Normal"/>
    <w:link w:val="20"/>
    <w:uiPriority w:val="99"/>
    <w:qFormat/>
    <w:locked/>
    <w:rsid w:val="00b302ab"/>
    <w:pPr>
      <w:keepNext w:val="true"/>
      <w:spacing w:before="240" w:after="60"/>
      <w:outlineLvl w:val="1"/>
    </w:pPr>
    <w:rPr>
      <w:rFonts w:ascii="Cambria" w:hAnsi="Cambria" w:eastAsia="Calibri"/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uiPriority w:val="99"/>
    <w:qFormat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21" w:customStyle="1">
    <w:name w:val="Заголовок 2 Знак"/>
    <w:link w:val="2"/>
    <w:uiPriority w:val="99"/>
    <w:semiHidden/>
    <w:qFormat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character" w:styleId="Style12" w:customStyle="1">
    <w:name w:val="Текст выноски Знак"/>
    <w:link w:val="a7"/>
    <w:uiPriority w:val="99"/>
    <w:semiHidden/>
    <w:qFormat/>
    <w:rsid w:val="00ac5943"/>
    <w:rPr>
      <w:rFonts w:ascii="Tahoma" w:hAnsi="Tahoma" w:eastAsia="Times New Roman" w:cs="Tahoma"/>
      <w:sz w:val="16"/>
      <w:szCs w:val="16"/>
    </w:rPr>
  </w:style>
  <w:style w:type="character" w:styleId="Style13" w:customStyle="1">
    <w:name w:val="Без интервала Знак"/>
    <w:link w:val="a3"/>
    <w:uiPriority w:val="99"/>
    <w:qFormat/>
    <w:locked/>
    <w:rsid w:val="000c18f6"/>
    <w:rPr>
      <w:rFonts w:ascii="Arial" w:hAnsi="Arial" w:eastAsia="Times New Roman" w:cs="Arial"/>
      <w:lang w:val="ru-RU" w:eastAsia="ru-RU" w:bidi="ar-SA"/>
    </w:rPr>
  </w:style>
  <w:style w:type="character" w:styleId="Style14" w:customStyle="1">
    <w:name w:val="Верхний колонтитул Знак"/>
    <w:link w:val="a9"/>
    <w:uiPriority w:val="99"/>
    <w:qFormat/>
    <w:rsid w:val="00971566"/>
    <w:rPr>
      <w:rFonts w:ascii="Times New Roman" w:hAnsi="Times New Roman" w:eastAsia="Times New Roman"/>
      <w:sz w:val="24"/>
      <w:szCs w:val="24"/>
    </w:rPr>
  </w:style>
  <w:style w:type="character" w:styleId="Style15" w:customStyle="1">
    <w:name w:val="Нижний колонтитул Знак"/>
    <w:link w:val="ab"/>
    <w:uiPriority w:val="99"/>
    <w:qFormat/>
    <w:rsid w:val="00971566"/>
    <w:rPr>
      <w:rFonts w:ascii="Times New Roman" w:hAnsi="Times New Roman" w:eastAsia="Times New Roman"/>
      <w:sz w:val="24"/>
      <w:szCs w:val="24"/>
    </w:rPr>
  </w:style>
  <w:style w:type="character" w:styleId="Hl41">
    <w:name w:val="hl41"/>
    <w:qFormat/>
    <w:rPr>
      <w:b/>
      <w:sz w:val="20"/>
    </w:rPr>
  </w:style>
  <w:style w:type="character" w:styleId="Style16">
    <w:name w:val="Текст сноски Знак"/>
    <w:qFormat/>
    <w:rPr/>
  </w:style>
  <w:style w:type="character" w:styleId="3">
    <w:name w:val="Заголовок 3 Знак"/>
    <w:qFormat/>
    <w:rPr>
      <w:rFonts w:ascii="Cambria" w:hAnsi="Cambria" w:eastAsia="Times New Roman"/>
      <w:b/>
      <w:bCs/>
      <w:sz w:val="26"/>
      <w:szCs w:val="26"/>
    </w:rPr>
  </w:style>
  <w:style w:type="character" w:styleId="Style17">
    <w:name w:val="Основной шрифт абзаца"/>
    <w:qFormat/>
    <w:rPr/>
  </w:style>
  <w:style w:type="character" w:styleId="WW8Num25z1">
    <w:name w:val="WW8Num25z1"/>
    <w:qFormat/>
    <w:rPr>
      <w:rFonts w:ascii="Courier New" w:hAnsi="Courier New" w:eastAsia="Courier New"/>
    </w:rPr>
  </w:style>
  <w:style w:type="character" w:styleId="WW8Num24z1">
    <w:name w:val="WW8Num24z1"/>
    <w:qFormat/>
    <w:rPr>
      <w:rFonts w:ascii="Courier New" w:hAnsi="Courier New" w:eastAsia="Courier New"/>
    </w:rPr>
  </w:style>
  <w:style w:type="character" w:styleId="WW8Num23z1">
    <w:name w:val="WW8Num23z1"/>
    <w:qFormat/>
    <w:rPr>
      <w:rFonts w:ascii="Courier New" w:hAnsi="Courier New" w:eastAsia="Courier New"/>
    </w:rPr>
  </w:style>
  <w:style w:type="character" w:styleId="WW8Num22z4">
    <w:name w:val="WW8Num22z4"/>
    <w:qFormat/>
    <w:rPr>
      <w:rFonts w:ascii="Courier New" w:hAnsi="Courier New" w:eastAsia="Courier New"/>
    </w:rPr>
  </w:style>
  <w:style w:type="character" w:styleId="WW8Num21z8">
    <w:name w:val="WW8Num21z8"/>
    <w:qFormat/>
    <w:rPr/>
  </w:style>
  <w:style w:type="character" w:styleId="WW8Num21z7">
    <w:name w:val="WW8Num21z7"/>
    <w:qFormat/>
    <w:rPr/>
  </w:style>
  <w:style w:type="character" w:styleId="WW8Num21z6">
    <w:name w:val="WW8Num21z6"/>
    <w:qFormat/>
    <w:rPr/>
  </w:style>
  <w:style w:type="character" w:styleId="WW8Num21z5">
    <w:name w:val="WW8Num21z5"/>
    <w:qFormat/>
    <w:rPr/>
  </w:style>
  <w:style w:type="character" w:styleId="WW8Num21z4">
    <w:name w:val="WW8Num21z4"/>
    <w:qFormat/>
    <w:rPr/>
  </w:style>
  <w:style w:type="character" w:styleId="WW8Num21z3">
    <w:name w:val="WW8Num21z3"/>
    <w:qFormat/>
    <w:rPr/>
  </w:style>
  <w:style w:type="character" w:styleId="WW8Num21z2">
    <w:name w:val="WW8Num21z2"/>
    <w:qFormat/>
    <w:rPr/>
  </w:style>
  <w:style w:type="character" w:styleId="WW8Num21z1">
    <w:name w:val="WW8Num21z1"/>
    <w:qFormat/>
    <w:rPr/>
  </w:style>
  <w:style w:type="character" w:styleId="WW8Num21z0">
    <w:name w:val="WW8Num21z0"/>
    <w:qFormat/>
    <w:rPr>
      <w:b w:val="false"/>
    </w:rPr>
  </w:style>
  <w:style w:type="character" w:styleId="WW8Num20z8">
    <w:name w:val="WW8Num20z8"/>
    <w:qFormat/>
    <w:rPr/>
  </w:style>
  <w:style w:type="character" w:styleId="WW8Num20z7">
    <w:name w:val="WW8Num20z7"/>
    <w:qFormat/>
    <w:rPr/>
  </w:style>
  <w:style w:type="character" w:styleId="WW8Num20z6">
    <w:name w:val="WW8Num20z6"/>
    <w:qFormat/>
    <w:rPr/>
  </w:style>
  <w:style w:type="character" w:styleId="WW8Num20z5">
    <w:name w:val="WW8Num20z5"/>
    <w:qFormat/>
    <w:rPr/>
  </w:style>
  <w:style w:type="character" w:styleId="WW8Num20z4">
    <w:name w:val="WW8Num20z4"/>
    <w:qFormat/>
    <w:rPr/>
  </w:style>
  <w:style w:type="character" w:styleId="WW8Num20z3">
    <w:name w:val="WW8Num20z3"/>
    <w:qFormat/>
    <w:rPr/>
  </w:style>
  <w:style w:type="character" w:styleId="WW8Num20z2">
    <w:name w:val="WW8Num20z2"/>
    <w:qFormat/>
    <w:rPr/>
  </w:style>
  <w:style w:type="character" w:styleId="WW8Num20z1">
    <w:name w:val="WW8Num20z1"/>
    <w:qFormat/>
    <w:rPr/>
  </w:style>
  <w:style w:type="character" w:styleId="WW8Num20z0">
    <w:name w:val="WW8Num20z0"/>
    <w:qFormat/>
    <w:rPr/>
  </w:style>
  <w:style w:type="character" w:styleId="WW8Num19z8">
    <w:name w:val="WW8Num19z8"/>
    <w:qFormat/>
    <w:rPr/>
  </w:style>
  <w:style w:type="character" w:styleId="WW8Num19z7">
    <w:name w:val="WW8Num19z7"/>
    <w:qFormat/>
    <w:rPr/>
  </w:style>
  <w:style w:type="character" w:styleId="WW8Num19z6">
    <w:name w:val="WW8Num19z6"/>
    <w:qFormat/>
    <w:rPr/>
  </w:style>
  <w:style w:type="character" w:styleId="WW8Num19z5">
    <w:name w:val="WW8Num19z5"/>
    <w:qFormat/>
    <w:rPr/>
  </w:style>
  <w:style w:type="character" w:styleId="WW8Num19z4">
    <w:name w:val="WW8Num19z4"/>
    <w:qFormat/>
    <w:rPr/>
  </w:style>
  <w:style w:type="character" w:styleId="WW8Num19z3">
    <w:name w:val="WW8Num19z3"/>
    <w:qFormat/>
    <w:rPr/>
  </w:style>
  <w:style w:type="character" w:styleId="WW8Num19z2">
    <w:name w:val="WW8Num19z2"/>
    <w:qFormat/>
    <w:rPr/>
  </w:style>
  <w:style w:type="character" w:styleId="WW8Num19z1">
    <w:name w:val="WW8Num19z1"/>
    <w:qFormat/>
    <w:rPr>
      <w:rFonts w:ascii="Times New Roman" w:hAnsi="Times New Roman" w:eastAsia="Times New Roman"/>
    </w:rPr>
  </w:style>
  <w:style w:type="character" w:styleId="WW8Num19z0">
    <w:name w:val="WW8Num19z0"/>
    <w:qFormat/>
    <w:rPr/>
  </w:style>
  <w:style w:type="character" w:styleId="WW8Num18z1">
    <w:name w:val="WW8Num18z1"/>
    <w:qFormat/>
    <w:rPr>
      <w:rFonts w:ascii="Courier New" w:hAnsi="Courier New" w:eastAsia="Courier New"/>
    </w:rPr>
  </w:style>
  <w:style w:type="character" w:styleId="WW8Num17z8">
    <w:name w:val="WW8Num17z8"/>
    <w:qFormat/>
    <w:rPr/>
  </w:style>
  <w:style w:type="character" w:styleId="WW8Num17z7">
    <w:name w:val="WW8Num17z7"/>
    <w:qFormat/>
    <w:rPr/>
  </w:style>
  <w:style w:type="character" w:styleId="WW8Num17z6">
    <w:name w:val="WW8Num17z6"/>
    <w:qFormat/>
    <w:rPr/>
  </w:style>
  <w:style w:type="character" w:styleId="WW8Num17z5">
    <w:name w:val="WW8Num17z5"/>
    <w:qFormat/>
    <w:rPr/>
  </w:style>
  <w:style w:type="character" w:styleId="WW8Num17z4">
    <w:name w:val="WW8Num17z4"/>
    <w:qFormat/>
    <w:rPr/>
  </w:style>
  <w:style w:type="character" w:styleId="WW8Num17z3">
    <w:name w:val="WW8Num17z3"/>
    <w:qFormat/>
    <w:rPr/>
  </w:style>
  <w:style w:type="character" w:styleId="WW8Num17z2">
    <w:name w:val="WW8Num17z2"/>
    <w:qFormat/>
    <w:rPr/>
  </w:style>
  <w:style w:type="character" w:styleId="WW8Num17z1">
    <w:name w:val="WW8Num17z1"/>
    <w:qFormat/>
    <w:rPr/>
  </w:style>
  <w:style w:type="character" w:styleId="WW8Num17z0">
    <w:name w:val="WW8Num17z0"/>
    <w:qFormat/>
    <w:rPr/>
  </w:style>
  <w:style w:type="character" w:styleId="WW8Num16z1">
    <w:name w:val="WW8Num16z1"/>
    <w:qFormat/>
    <w:rPr>
      <w:rFonts w:ascii="Courier New" w:hAnsi="Courier New" w:eastAsia="Courier New"/>
    </w:rPr>
  </w:style>
  <w:style w:type="character" w:styleId="WW8Num15z1">
    <w:name w:val="WW8Num15z1"/>
    <w:qFormat/>
    <w:rPr>
      <w:rFonts w:ascii="Courier New" w:hAnsi="Courier New" w:eastAsia="Courier New"/>
    </w:rPr>
  </w:style>
  <w:style w:type="character" w:styleId="WW8Num14z8">
    <w:name w:val="WW8Num14z8"/>
    <w:qFormat/>
    <w:rPr/>
  </w:style>
  <w:style w:type="character" w:styleId="WW8Num14z7">
    <w:name w:val="WW8Num14z7"/>
    <w:qFormat/>
    <w:rPr/>
  </w:style>
  <w:style w:type="character" w:styleId="WW8Num14z6">
    <w:name w:val="WW8Num14z6"/>
    <w:qFormat/>
    <w:rPr/>
  </w:style>
  <w:style w:type="character" w:styleId="WW8Num14z5">
    <w:name w:val="WW8Num14z5"/>
    <w:qFormat/>
    <w:rPr/>
  </w:style>
  <w:style w:type="character" w:styleId="WW8Num14z4">
    <w:name w:val="WW8Num14z4"/>
    <w:qFormat/>
    <w:rPr/>
  </w:style>
  <w:style w:type="character" w:styleId="WW8Num14z3">
    <w:name w:val="WW8Num14z3"/>
    <w:qFormat/>
    <w:rPr/>
  </w:style>
  <w:style w:type="character" w:styleId="WW8Num14z2">
    <w:name w:val="WW8Num14z2"/>
    <w:qFormat/>
    <w:rPr/>
  </w:style>
  <w:style w:type="character" w:styleId="WW8Num14z1">
    <w:name w:val="WW8Num14z1"/>
    <w:qFormat/>
    <w:rPr/>
  </w:style>
  <w:style w:type="character" w:styleId="WW8Num14z0">
    <w:name w:val="WW8Num14z0"/>
    <w:qFormat/>
    <w:rPr/>
  </w:style>
  <w:style w:type="character" w:styleId="WW8Num13z1">
    <w:name w:val="WW8Num13z1"/>
    <w:qFormat/>
    <w:rPr>
      <w:rFonts w:ascii="Courier New" w:hAnsi="Courier New" w:eastAsia="Courier New"/>
    </w:rPr>
  </w:style>
  <w:style w:type="character" w:styleId="WW8Num12z8">
    <w:name w:val="WW8Num12z8"/>
    <w:qFormat/>
    <w:rPr/>
  </w:style>
  <w:style w:type="character" w:styleId="WW8Num12z7">
    <w:name w:val="WW8Num12z7"/>
    <w:qFormat/>
    <w:rPr/>
  </w:style>
  <w:style w:type="character" w:styleId="WW8Num12z6">
    <w:name w:val="WW8Num12z6"/>
    <w:qFormat/>
    <w:rPr/>
  </w:style>
  <w:style w:type="character" w:styleId="WW8Num12z5">
    <w:name w:val="WW8Num12z5"/>
    <w:qFormat/>
    <w:rPr/>
  </w:style>
  <w:style w:type="character" w:styleId="WW8Num12z4">
    <w:name w:val="WW8Num12z4"/>
    <w:qFormat/>
    <w:rPr/>
  </w:style>
  <w:style w:type="character" w:styleId="WW8Num12z3">
    <w:name w:val="WW8Num12z3"/>
    <w:qFormat/>
    <w:rPr/>
  </w:style>
  <w:style w:type="character" w:styleId="WW8Num12z2">
    <w:name w:val="WW8Num12z2"/>
    <w:qFormat/>
    <w:rPr/>
  </w:style>
  <w:style w:type="character" w:styleId="WW8Num12z1">
    <w:name w:val="WW8Num12z1"/>
    <w:qFormat/>
    <w:rPr/>
  </w:style>
  <w:style w:type="character" w:styleId="WW8Num11z1">
    <w:name w:val="WW8Num11z1"/>
    <w:qFormat/>
    <w:rPr>
      <w:rFonts w:ascii="Courier New" w:hAnsi="Courier New" w:eastAsia="Courier New"/>
    </w:rPr>
  </w:style>
  <w:style w:type="character" w:styleId="WW8Num10z1">
    <w:name w:val="WW8Num10z1"/>
    <w:qFormat/>
    <w:rPr>
      <w:rFonts w:eastAsia="Times New Roman"/>
    </w:rPr>
  </w:style>
  <w:style w:type="character" w:styleId="WW8Num10z0">
    <w:name w:val="WW8Num10z0"/>
    <w:qFormat/>
    <w:rPr>
      <w:rFonts w:ascii="Times New Roman" w:hAnsi="Times New Roman" w:eastAsia="Times New Roman"/>
      <w:sz w:val="24"/>
      <w:szCs w:val="24"/>
    </w:rPr>
  </w:style>
  <w:style w:type="character" w:styleId="WW8Num9z1">
    <w:name w:val="WW8Num9z1"/>
    <w:qFormat/>
    <w:rPr>
      <w:rFonts w:ascii="Courier New" w:hAnsi="Courier New" w:eastAsia="Courier New"/>
    </w:rPr>
  </w:style>
  <w:style w:type="character" w:styleId="WW8Num8z1">
    <w:name w:val="WW8Num8z1"/>
    <w:qFormat/>
    <w:rPr>
      <w:rFonts w:ascii="Courier New" w:hAnsi="Courier New" w:eastAsia="Courier New"/>
    </w:rPr>
  </w:style>
  <w:style w:type="character" w:styleId="WW8Num7z8">
    <w:name w:val="WW8Num7z8"/>
    <w:qFormat/>
    <w:rPr/>
  </w:style>
  <w:style w:type="character" w:styleId="WW8Num7z7">
    <w:name w:val="WW8Num7z7"/>
    <w:qFormat/>
    <w:rPr/>
  </w:style>
  <w:style w:type="character" w:styleId="WW8Num7z6">
    <w:name w:val="WW8Num7z6"/>
    <w:qFormat/>
    <w:rPr/>
  </w:style>
  <w:style w:type="character" w:styleId="WW8Num7z5">
    <w:name w:val="WW8Num7z5"/>
    <w:qFormat/>
    <w:rPr/>
  </w:style>
  <w:style w:type="character" w:styleId="WW8Num7z4">
    <w:name w:val="WW8Num7z4"/>
    <w:qFormat/>
    <w:rPr/>
  </w:style>
  <w:style w:type="character" w:styleId="WW8Num7z3">
    <w:name w:val="WW8Num7z3"/>
    <w:qFormat/>
    <w:rPr/>
  </w:style>
  <w:style w:type="character" w:styleId="WW8Num7z2">
    <w:name w:val="WW8Num7z2"/>
    <w:qFormat/>
    <w:rPr/>
  </w:style>
  <w:style w:type="character" w:styleId="WW8Num7z1">
    <w:name w:val="WW8Num7z1"/>
    <w:qFormat/>
    <w:rPr/>
  </w:style>
  <w:style w:type="character" w:styleId="WW8Num7z0">
    <w:name w:val="WW8Num7z0"/>
    <w:qFormat/>
    <w:rPr/>
  </w:style>
  <w:style w:type="character" w:styleId="WW8Num6z1">
    <w:name w:val="WW8Num6z1"/>
    <w:qFormat/>
    <w:rPr>
      <w:rFonts w:ascii="Courier New" w:hAnsi="Courier New" w:eastAsia="Courier New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2z1">
    <w:name w:val="WW8Num2z1"/>
    <w:qFormat/>
    <w:rPr>
      <w:rFonts w:ascii="Courier New" w:hAnsi="Courier New" w:eastAsia="Courier New"/>
    </w:rPr>
  </w:style>
  <w:style w:type="character" w:styleId="WW8Num4z8">
    <w:name w:val="WW8Num4z8"/>
    <w:qFormat/>
    <w:rPr/>
  </w:style>
  <w:style w:type="character" w:styleId="WW8Num4z7">
    <w:name w:val="WW8Num4z7"/>
    <w:qFormat/>
    <w:rPr/>
  </w:style>
  <w:style w:type="character" w:styleId="WW8Num4z6">
    <w:name w:val="WW8Num4z6"/>
    <w:qFormat/>
    <w:rPr/>
  </w:style>
  <w:style w:type="character" w:styleId="WW8Num4z5">
    <w:name w:val="WW8Num4z5"/>
    <w:qFormat/>
    <w:rPr/>
  </w:style>
  <w:style w:type="character" w:styleId="WW8Num4z4">
    <w:name w:val="WW8Num4z4"/>
    <w:qFormat/>
    <w:rPr/>
  </w:style>
  <w:style w:type="character" w:styleId="WW8Num4z3">
    <w:name w:val="WW8Num4z3"/>
    <w:qFormat/>
    <w:rPr/>
  </w:style>
  <w:style w:type="character" w:styleId="WW8Num4z2">
    <w:name w:val="WW8Num4z2"/>
    <w:qFormat/>
    <w:rPr/>
  </w:style>
  <w:style w:type="character" w:styleId="WW8Num4z1">
    <w:name w:val="WW8Num4z1"/>
    <w:qFormat/>
    <w:rPr>
      <w:rFonts w:ascii="Times New Roman" w:hAnsi="Times New Roman" w:eastAsia="Times New Roman"/>
    </w:rPr>
  </w:style>
  <w:style w:type="character" w:styleId="WW8Num4z0">
    <w:name w:val="WW8Num4z0"/>
    <w:qFormat/>
    <w:rPr/>
  </w:style>
  <w:style w:type="character" w:styleId="WW8Num3z0">
    <w:name w:val="WW8Num3z0"/>
    <w:qFormat/>
    <w:rPr>
      <w:rFonts w:ascii="Times New Roman" w:hAnsi="Times New Roman" w:eastAsia="Times New Roman"/>
      <w:sz w:val="24"/>
      <w:szCs w:val="24"/>
    </w:rPr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ascii="PT Astra Serif" w:hAnsi="PT Astra Serif"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link w:val="a4"/>
    <w:uiPriority w:val="99"/>
    <w:qFormat/>
    <w:rsid w:val="00465f79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0"/>
      <w:lang w:val="ru-RU" w:eastAsia="ru-RU" w:bidi="ar-SA"/>
    </w:rPr>
  </w:style>
  <w:style w:type="paragraph" w:styleId="NormalWeb">
    <w:name w:val="Normal (Web)"/>
    <w:basedOn w:val="Normal"/>
    <w:uiPriority w:val="99"/>
    <w:semiHidden/>
    <w:qFormat/>
    <w:rsid w:val="00be77f2"/>
    <w:pPr>
      <w:suppressAutoHyphens w:val="true"/>
      <w:spacing w:before="168" w:after="168"/>
    </w:pPr>
    <w:rPr>
      <w:lang w:eastAsia="ar-SA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ac5943"/>
    <w:pPr/>
    <w:rPr>
      <w:rFonts w:ascii="Tahoma" w:hAnsi="Tahoma"/>
      <w:sz w:val="16"/>
      <w:szCs w:val="16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a"/>
    <w:uiPriority w:val="99"/>
    <w:unhideWhenUsed/>
    <w:rsid w:val="00971566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link w:val="ac"/>
    <w:uiPriority w:val="99"/>
    <w:unhideWhenUsed/>
    <w:rsid w:val="00971566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Xl64">
    <w:name w:val="xl6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63">
    <w:name w:val="xl63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MS Sans Serif" w:hAnsi="MS Sans Serif" w:eastAsia="MS Sans Serif"/>
      <w:b/>
      <w:bCs/>
      <w:sz w:val="17"/>
      <w:szCs w:val="17"/>
      <w:lang w:eastAsia="ar-SA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Xl91">
    <w:name w:val="xl9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90">
    <w:name w:val="xl9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9">
    <w:name w:val="xl8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88">
    <w:name w:val="xl8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87">
    <w:name w:val="xl8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/>
  </w:style>
  <w:style w:type="paragraph" w:styleId="Xl86">
    <w:name w:val="xl8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eastAsia="Arial"/>
      <w:lang w:eastAsia="ar-SA"/>
    </w:rPr>
  </w:style>
  <w:style w:type="paragraph" w:styleId="Xl85">
    <w:name w:val="xl8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4">
    <w:name w:val="xl8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3">
    <w:name w:val="xl83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2">
    <w:name w:val="xl8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1">
    <w:name w:val="xl8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0">
    <w:name w:val="xl8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9">
    <w:name w:val="xl7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8">
    <w:name w:val="xl7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u w:val="single"/>
      <w:lang w:eastAsia="ar-SA"/>
    </w:rPr>
  </w:style>
  <w:style w:type="paragraph" w:styleId="Xl77">
    <w:name w:val="xl7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76">
    <w:name w:val="xl7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75">
    <w:name w:val="xl7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74">
    <w:name w:val="xl7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3">
    <w:name w:val="xl73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2">
    <w:name w:val="xl7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1">
    <w:name w:val="xl7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70">
    <w:name w:val="xl7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69">
    <w:name w:val="xl6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68">
    <w:name w:val="xl6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67">
    <w:name w:val="xl6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66">
    <w:name w:val="xl6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65">
    <w:name w:val="xl6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" w:hAnsi="Arial" w:eastAsia="Arial"/>
      <w:b/>
      <w:bCs/>
      <w:sz w:val="17"/>
      <w:szCs w:val="17"/>
      <w:lang w:eastAsia="ar-SA"/>
    </w:rPr>
  </w:style>
  <w:style w:type="paragraph" w:styleId="Style26">
    <w:name w:val="Абзац списка"/>
    <w:basedOn w:val="Normal"/>
    <w:qFormat/>
    <w:pPr>
      <w:spacing w:lineRule="atLeast" w:line="240" w:before="0" w:after="0"/>
      <w:ind w:left="720" w:hanging="0"/>
      <w:contextualSpacing/>
    </w:pPr>
    <w:rPr/>
  </w:style>
  <w:style w:type="paragraph" w:styleId="P18">
    <w:name w:val="p18"/>
    <w:basedOn w:val="Normal"/>
    <w:qFormat/>
    <w:pPr>
      <w:spacing w:before="280" w:after="280"/>
    </w:pPr>
    <w:rPr/>
  </w:style>
  <w:style w:type="paragraph" w:styleId="P17">
    <w:name w:val="p17"/>
    <w:basedOn w:val="Normal"/>
    <w:qFormat/>
    <w:pPr>
      <w:spacing w:before="280" w:after="280"/>
    </w:pPr>
    <w:rPr/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Liberation Serif"/>
      <w:color w:val="000000"/>
      <w:kern w:val="2"/>
      <w:sz w:val="24"/>
      <w:szCs w:val="24"/>
      <w:lang w:val="ru-RU" w:eastAsia="ar-SA" w:bidi="ar-SA"/>
    </w:rPr>
  </w:style>
  <w:style w:type="paragraph" w:styleId="Style27">
    <w:name w:val="......."/>
    <w:basedOn w:val="Normal"/>
    <w:qFormat/>
    <w:pPr/>
    <w:rPr/>
  </w:style>
  <w:style w:type="paragraph" w:styleId="Style28">
    <w:name w:val="........ ..... . ........"/>
    <w:basedOn w:val="Normal"/>
    <w:qFormat/>
    <w:pPr/>
    <w:rPr/>
  </w:style>
  <w:style w:type="paragraph" w:styleId="ConsPlusNormal">
    <w:name w:val="ConsPlusNormal"/>
    <w:qFormat/>
    <w:pPr>
      <w:widowControl w:val="false"/>
      <w:suppressAutoHyphens w:val="true"/>
      <w:bidi w:val="0"/>
      <w:spacing w:lineRule="atLeast" w:line="240" w:before="0" w:after="0"/>
      <w:ind w:firstLine="720"/>
      <w:jc w:val="left"/>
    </w:pPr>
    <w:rPr>
      <w:rFonts w:ascii="Arial" w:hAnsi="Arial" w:eastAsia="Arial" w:cs="Liberation Serif"/>
      <w:color w:val="auto"/>
      <w:kern w:val="2"/>
      <w:sz w:val="20"/>
      <w:szCs w:val="20"/>
      <w:lang w:val="ru-RU" w:eastAsia="ar-SA" w:bidi="ar-SA"/>
    </w:rPr>
  </w:style>
  <w:style w:type="paragraph" w:styleId="Style29">
    <w:name w:val="Текст выноски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ConsPlusTitle">
    <w:name w:val="ConsPlusTitle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Liberation Serif"/>
      <w:b/>
      <w:bCs/>
      <w:color w:val="auto"/>
      <w:kern w:val="2"/>
      <w:sz w:val="26"/>
      <w:szCs w:val="26"/>
      <w:lang w:val="ru-RU" w:eastAsia="ar-SA" w:bidi="ar-SA"/>
    </w:rPr>
  </w:style>
  <w:style w:type="paragraph" w:styleId="31">
    <w:name w:val="Основной текст 3"/>
    <w:basedOn w:val="Normal"/>
    <w:qFormat/>
    <w:pPr>
      <w:jc w:val="both"/>
    </w:pPr>
    <w:rPr>
      <w:i/>
    </w:rPr>
  </w:style>
  <w:style w:type="paragraph" w:styleId="ConsNormal">
    <w:name w:val="ConsNormal"/>
    <w:qFormat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Arial" w:cs="Liberation Serif"/>
      <w:color w:val="auto"/>
      <w:kern w:val="2"/>
      <w:sz w:val="20"/>
      <w:szCs w:val="20"/>
      <w:lang w:val="ru-RU" w:eastAsia="ar-SA" w:bidi="ar-SA"/>
    </w:rPr>
  </w:style>
  <w:style w:type="paragraph" w:styleId="Style30">
    <w:name w:val="Обычный (веб)"/>
    <w:basedOn w:val="Normal"/>
    <w:qFormat/>
    <w:pPr>
      <w:spacing w:before="100" w:after="100"/>
    </w:pPr>
    <w:rPr>
      <w:sz w:val="20"/>
    </w:rPr>
  </w:style>
  <w:style w:type="paragraph" w:styleId="22">
    <w:name w:val="Основной текст 2"/>
    <w:basedOn w:val="Normal"/>
    <w:qFormat/>
    <w:pPr>
      <w:jc w:val="both"/>
    </w:pPr>
    <w:rPr>
      <w:sz w:val="20"/>
    </w:rPr>
  </w:style>
  <w:style w:type="paragraph" w:styleId="ConsTitle">
    <w:name w:val="ConsTitle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Liberation Serif"/>
      <w:b/>
      <w:color w:val="auto"/>
      <w:kern w:val="2"/>
      <w:sz w:val="16"/>
      <w:szCs w:val="20"/>
      <w:lang w:val="ru-RU" w:eastAsia="ar-SA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99"/>
    <w:rsid w:val="00ef299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5E00C-9BF1-4A22-A79E-1454CB9FA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Application>LibreOffice/6.4.7.2$Linux_X86_64 LibreOffice_project/40$Build-2</Application>
  <Pages>7</Pages>
  <Words>1769</Words>
  <Characters>11376</Characters>
  <CharactersWithSpaces>13476</CharactersWithSpaces>
  <Paragraphs>345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dc:description/>
  <dc:language>ru-RU</dc:language>
  <cp:lastModifiedBy/>
  <dcterms:modified xsi:type="dcterms:W3CDTF">2023-10-12T13:57:02Z</dcterms:modified>
  <cp:revision>81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